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38255C">
        <w:rPr>
          <w:sz w:val="28"/>
          <w:szCs w:val="28"/>
          <w:lang w:eastAsia="ar-SA"/>
        </w:rPr>
        <w:t>29 августа 2024 г.</w:t>
      </w:r>
      <w:r w:rsidRPr="00B02092">
        <w:rPr>
          <w:sz w:val="28"/>
          <w:szCs w:val="28"/>
          <w:lang w:eastAsia="ar-SA"/>
        </w:rPr>
        <w:t xml:space="preserve">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38255C">
        <w:rPr>
          <w:sz w:val="28"/>
          <w:szCs w:val="28"/>
          <w:lang w:eastAsia="ar-SA"/>
        </w:rPr>
        <w:t>424</w:t>
      </w:r>
      <w:bookmarkStart w:id="0" w:name="_GoBack"/>
      <w:bookmarkEnd w:id="0"/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434390">
        <w:rPr>
          <w:b/>
          <w:bCs/>
          <w:color w:val="000000"/>
          <w:sz w:val="28"/>
          <w:szCs w:val="28"/>
        </w:rPr>
        <w:t>3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434390">
        <w:rPr>
          <w:b/>
          <w:bCs/>
          <w:color w:val="000000"/>
          <w:sz w:val="28"/>
          <w:szCs w:val="28"/>
        </w:rPr>
        <w:t>348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4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6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Pr="00867861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3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C3625" w:rsidRPr="004E5251">
        <w:rPr>
          <w:sz w:val="28"/>
          <w:szCs w:val="28"/>
        </w:rPr>
        <w:t>348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4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4E454F" w:rsidRPr="004E5251">
        <w:rPr>
          <w:sz w:val="28"/>
          <w:szCs w:val="28"/>
          <w:lang w:eastAsia="en-US"/>
        </w:rPr>
        <w:t>4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E305FB">
        <w:rPr>
          <w:sz w:val="28"/>
          <w:szCs w:val="28"/>
          <w:lang w:eastAsia="en-US"/>
        </w:rPr>
        <w:t>2095370,1</w:t>
      </w:r>
      <w:r w:rsidR="004E454F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E305FB">
        <w:rPr>
          <w:sz w:val="28"/>
          <w:szCs w:val="28"/>
          <w:lang w:eastAsia="en-US"/>
        </w:rPr>
        <w:t>2125564,7</w:t>
      </w:r>
      <w:r w:rsidR="003C37D7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="00F01CEB" w:rsidRPr="004E5251">
        <w:rPr>
          <w:sz w:val="28"/>
          <w:szCs w:val="28"/>
          <w:lang w:eastAsia="en-US"/>
        </w:rPr>
        <w:t xml:space="preserve"> </w:t>
      </w:r>
      <w:r w:rsidR="00242E99">
        <w:rPr>
          <w:sz w:val="28"/>
          <w:szCs w:val="28"/>
          <w:lang w:eastAsia="en-US"/>
        </w:rPr>
        <w:t>4995</w:t>
      </w:r>
      <w:r w:rsidR="00297018" w:rsidRPr="004E5251">
        <w:rPr>
          <w:sz w:val="28"/>
          <w:szCs w:val="28"/>
          <w:lang w:eastAsia="en-US"/>
        </w:rPr>
        <w:t>,8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4E454F" w:rsidRPr="004E5251">
        <w:rPr>
          <w:sz w:val="28"/>
          <w:szCs w:val="28"/>
          <w:lang w:eastAsia="en-US"/>
        </w:rPr>
        <w:t>50</w:t>
      </w:r>
      <w:r w:rsidR="00D06410" w:rsidRPr="004E5251">
        <w:rPr>
          <w:sz w:val="28"/>
          <w:szCs w:val="28"/>
          <w:lang w:eastAsia="en-US"/>
        </w:rPr>
        <w:t>0,0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C5F07" w:rsidRPr="004E5251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</w:t>
      </w:r>
      <w:r w:rsidR="001550EB" w:rsidRPr="004E5251">
        <w:rPr>
          <w:sz w:val="28"/>
          <w:szCs w:val="28"/>
          <w:lang w:eastAsia="en-US"/>
        </w:rPr>
        <w:t xml:space="preserve">. </w:t>
      </w:r>
      <w:r w:rsidRPr="004E5251">
        <w:rPr>
          <w:sz w:val="28"/>
          <w:szCs w:val="28"/>
          <w:lang w:eastAsia="en-US"/>
        </w:rPr>
        <w:t>в сумме 1</w:t>
      </w:r>
      <w:r w:rsidR="004E454F" w:rsidRPr="004E5251">
        <w:rPr>
          <w:sz w:val="28"/>
          <w:szCs w:val="28"/>
          <w:lang w:eastAsia="en-US"/>
        </w:rPr>
        <w:t>40700</w:t>
      </w:r>
      <w:r w:rsidRPr="004E5251">
        <w:rPr>
          <w:sz w:val="28"/>
          <w:szCs w:val="28"/>
          <w:lang w:eastAsia="en-US"/>
        </w:rPr>
        <w:t>,0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Pr="00737FB8" w:rsidRDefault="008913F6" w:rsidP="008913F6">
      <w:pPr>
        <w:ind w:firstLine="709"/>
        <w:jc w:val="both"/>
        <w:rPr>
          <w:sz w:val="28"/>
          <w:szCs w:val="28"/>
        </w:rPr>
      </w:pPr>
      <w:r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182ADD" w:rsidRPr="00737FB8">
        <w:rPr>
          <w:sz w:val="28"/>
          <w:szCs w:val="28"/>
          <w:lang w:eastAsia="en-US"/>
        </w:rPr>
        <w:t>30194,6</w:t>
      </w:r>
      <w:r w:rsidR="001550EB" w:rsidRPr="00737FB8">
        <w:rPr>
          <w:sz w:val="28"/>
          <w:szCs w:val="28"/>
          <w:lang w:eastAsia="en-US"/>
        </w:rPr>
        <w:t xml:space="preserve"> </w:t>
      </w:r>
      <w:r w:rsidRPr="00737FB8">
        <w:rPr>
          <w:sz w:val="28"/>
          <w:szCs w:val="28"/>
          <w:lang w:eastAsia="en-US"/>
        </w:rPr>
        <w:t>тыс. рублей</w:t>
      </w:r>
      <w:proofErr w:type="gramStart"/>
      <w:r w:rsidRPr="00737FB8">
        <w:rPr>
          <w:sz w:val="28"/>
          <w:szCs w:val="28"/>
          <w:lang w:eastAsia="en-US"/>
        </w:rPr>
        <w:t>.</w:t>
      </w:r>
      <w:r w:rsidR="00377E31" w:rsidRPr="00737FB8">
        <w:rPr>
          <w:sz w:val="28"/>
          <w:szCs w:val="28"/>
          <w:lang w:eastAsia="en-US"/>
        </w:rPr>
        <w:t>»;</w:t>
      </w:r>
      <w:proofErr w:type="gramEnd"/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2) приложение 1 «Объем поступлений доходов в бюджет </w:t>
      </w:r>
      <w:r w:rsidRPr="00867861">
        <w:rPr>
          <w:sz w:val="28"/>
          <w:szCs w:val="28"/>
        </w:rPr>
        <w:lastRenderedPageBreak/>
        <w:t>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62057D" w:rsidRPr="006616CF" w:rsidRDefault="0062057D" w:rsidP="0062057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</w:t>
      </w:r>
      <w:r w:rsidRPr="006616CF">
        <w:rPr>
          <w:sz w:val="28"/>
          <w:szCs w:val="28"/>
        </w:rPr>
        <w:t xml:space="preserve">приложение  4 «Безвозмездные поступления из краевого бюджета на             2024 год» изложить в новой редакции (приложение </w:t>
      </w:r>
      <w:r>
        <w:rPr>
          <w:sz w:val="28"/>
          <w:szCs w:val="28"/>
        </w:rPr>
        <w:t>2</w:t>
      </w:r>
      <w:r w:rsidRPr="006616CF">
        <w:rPr>
          <w:sz w:val="28"/>
          <w:szCs w:val="28"/>
        </w:rPr>
        <w:t>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="0062057D"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2057D">
        <w:rPr>
          <w:sz w:val="28"/>
          <w:szCs w:val="28"/>
        </w:rPr>
        <w:t>3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9204E">
        <w:rPr>
          <w:sz w:val="28"/>
          <w:szCs w:val="28"/>
        </w:rPr>
        <w:t xml:space="preserve">  </w:t>
      </w:r>
      <w:r w:rsidR="0062057D">
        <w:rPr>
          <w:sz w:val="28"/>
          <w:szCs w:val="28"/>
        </w:rPr>
        <w:t>5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2057D">
        <w:rPr>
          <w:sz w:val="28"/>
          <w:szCs w:val="28"/>
        </w:rPr>
        <w:t>4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6501">
        <w:rPr>
          <w:sz w:val="28"/>
          <w:szCs w:val="28"/>
        </w:rPr>
        <w:t xml:space="preserve">  </w:t>
      </w:r>
      <w:r w:rsidR="00C24915">
        <w:rPr>
          <w:sz w:val="28"/>
          <w:szCs w:val="28"/>
        </w:rPr>
        <w:t xml:space="preserve"> </w:t>
      </w:r>
      <w:r w:rsidR="0062057D">
        <w:rPr>
          <w:sz w:val="28"/>
          <w:szCs w:val="28"/>
        </w:rPr>
        <w:t>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2057D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:rsidR="00B2516D" w:rsidRDefault="00B2516D" w:rsidP="00C2491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76501">
        <w:rPr>
          <w:sz w:val="28"/>
          <w:szCs w:val="28"/>
        </w:rPr>
        <w:t xml:space="preserve">  </w:t>
      </w:r>
      <w:r w:rsidR="0062057D">
        <w:rPr>
          <w:sz w:val="28"/>
          <w:szCs w:val="28"/>
        </w:rPr>
        <w:t>7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62057D">
        <w:rPr>
          <w:sz w:val="28"/>
          <w:szCs w:val="28"/>
        </w:rPr>
        <w:t>6</w:t>
      </w:r>
      <w:r w:rsidRPr="00867861">
        <w:rPr>
          <w:sz w:val="28"/>
          <w:szCs w:val="28"/>
        </w:rPr>
        <w:t>)</w:t>
      </w:r>
      <w:r w:rsidR="0062057D">
        <w:rPr>
          <w:sz w:val="28"/>
          <w:szCs w:val="28"/>
        </w:rPr>
        <w:t>;</w:t>
      </w:r>
    </w:p>
    <w:p w:rsidR="0062057D" w:rsidRDefault="0062057D" w:rsidP="0062057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8) </w:t>
      </w:r>
      <w:r w:rsidRPr="00AF4DCE">
        <w:rPr>
          <w:sz w:val="28"/>
          <w:szCs w:val="28"/>
        </w:rPr>
        <w:t xml:space="preserve">приложение 22 «Безвозмездные поступления из бюджетов сельских поселений на выполнение переданных полномочий  в 2024  году» изложить в новой редакции (приложение </w:t>
      </w:r>
      <w:r>
        <w:rPr>
          <w:sz w:val="28"/>
          <w:szCs w:val="28"/>
        </w:rPr>
        <w:t>7</w:t>
      </w:r>
      <w:r w:rsidRPr="00AF4DCE">
        <w:rPr>
          <w:sz w:val="28"/>
          <w:szCs w:val="28"/>
        </w:rPr>
        <w:t>);</w:t>
      </w:r>
    </w:p>
    <w:p w:rsidR="005B3BB3" w:rsidRPr="00545F92" w:rsidRDefault="005B3BB3" w:rsidP="005B3BB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</w:t>
      </w:r>
      <w:r w:rsidRPr="00545F92">
        <w:rPr>
          <w:sz w:val="28"/>
          <w:szCs w:val="28"/>
        </w:rPr>
        <w:t>9) пункт 20 дополнить абзацем 7 следующего содержания:</w:t>
      </w:r>
    </w:p>
    <w:p w:rsidR="005B3BB3" w:rsidRPr="00545F92" w:rsidRDefault="005B3BB3" w:rsidP="005B3BB3">
      <w:pPr>
        <w:tabs>
          <w:tab w:val="left" w:pos="709"/>
        </w:tabs>
        <w:jc w:val="both"/>
        <w:rPr>
          <w:sz w:val="28"/>
          <w:szCs w:val="28"/>
        </w:rPr>
      </w:pPr>
      <w:r w:rsidRPr="00545F92">
        <w:rPr>
          <w:sz w:val="28"/>
          <w:szCs w:val="28"/>
        </w:rPr>
        <w:t xml:space="preserve">          «в целях погашения кредиторской задолженности за топливно-энергетические ресурсы, в соответствии с Перечнем муниципальных унитарных предприятий муниципального образования Тбилисский район, имеющих право на получение субсидий в целях погашения кредиторской задолженности за топливно-энергетические ресурсы, согласно приложению 26.» (приложение 8).</w:t>
      </w:r>
    </w:p>
    <w:p w:rsidR="0062057D" w:rsidRDefault="0062057D" w:rsidP="0062057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B3BB3">
        <w:rPr>
          <w:sz w:val="28"/>
          <w:szCs w:val="28"/>
        </w:rPr>
        <w:t>10</w:t>
      </w:r>
      <w:r>
        <w:rPr>
          <w:sz w:val="28"/>
          <w:szCs w:val="28"/>
        </w:rPr>
        <w:t xml:space="preserve">) пункт </w:t>
      </w:r>
      <w:r w:rsidR="0029791A">
        <w:rPr>
          <w:sz w:val="28"/>
          <w:szCs w:val="28"/>
        </w:rPr>
        <w:t>38</w:t>
      </w:r>
      <w:r>
        <w:rPr>
          <w:sz w:val="28"/>
          <w:szCs w:val="28"/>
        </w:rPr>
        <w:t xml:space="preserve"> </w:t>
      </w:r>
      <w:r w:rsidRPr="007D3733">
        <w:rPr>
          <w:sz w:val="28"/>
          <w:szCs w:val="28"/>
        </w:rPr>
        <w:t>изложить в следующей редакции:</w:t>
      </w:r>
    </w:p>
    <w:p w:rsidR="0062057D" w:rsidRDefault="0062057D" w:rsidP="0062057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E4A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E4AFE">
        <w:rPr>
          <w:sz w:val="28"/>
          <w:szCs w:val="28"/>
        </w:rPr>
        <w:t xml:space="preserve"> </w:t>
      </w:r>
      <w:r w:rsidRPr="007D3733">
        <w:rPr>
          <w:sz w:val="28"/>
          <w:szCs w:val="28"/>
        </w:rPr>
        <w:t>«</w:t>
      </w:r>
      <w:r w:rsidR="008F14CA">
        <w:rPr>
          <w:sz w:val="28"/>
          <w:szCs w:val="28"/>
        </w:rPr>
        <w:t>38</w:t>
      </w:r>
      <w:r w:rsidRPr="007D3733">
        <w:rPr>
          <w:sz w:val="28"/>
          <w:szCs w:val="28"/>
        </w:rPr>
        <w:t xml:space="preserve">. Реструктуризация муниципального долга поселений района по бюджетным кредитам, предоставленным бюджетам поселений района из бюджета муниципального образования Тбилисский район, осуществляется </w:t>
      </w:r>
      <w:r w:rsidR="0029791A">
        <w:rPr>
          <w:sz w:val="28"/>
          <w:szCs w:val="28"/>
        </w:rPr>
        <w:t>способами, предусмотренными пункт</w:t>
      </w:r>
      <w:r w:rsidR="00835544">
        <w:rPr>
          <w:sz w:val="28"/>
          <w:szCs w:val="28"/>
        </w:rPr>
        <w:t>ами</w:t>
      </w:r>
      <w:r w:rsidR="0029791A">
        <w:rPr>
          <w:sz w:val="28"/>
          <w:szCs w:val="28"/>
        </w:rPr>
        <w:t xml:space="preserve"> 38 или 40 </w:t>
      </w:r>
      <w:r w:rsidR="00732819">
        <w:rPr>
          <w:sz w:val="28"/>
          <w:szCs w:val="28"/>
        </w:rPr>
        <w:t>настоящего р</w:t>
      </w:r>
      <w:r w:rsidR="0029791A">
        <w:rPr>
          <w:sz w:val="28"/>
          <w:szCs w:val="28"/>
        </w:rPr>
        <w:t xml:space="preserve">ешения, на основных условиях, установленных </w:t>
      </w:r>
      <w:r w:rsidR="00F21961">
        <w:rPr>
          <w:sz w:val="28"/>
          <w:szCs w:val="28"/>
        </w:rPr>
        <w:t>пунктами 38-41 настоящего</w:t>
      </w:r>
      <w:r w:rsidR="00F21961" w:rsidRPr="009967FD">
        <w:rPr>
          <w:sz w:val="28"/>
          <w:szCs w:val="28"/>
        </w:rPr>
        <w:t xml:space="preserve"> решени</w:t>
      </w:r>
      <w:r w:rsidR="00F21961">
        <w:rPr>
          <w:sz w:val="28"/>
          <w:szCs w:val="28"/>
        </w:rPr>
        <w:t>я</w:t>
      </w:r>
      <w:r w:rsidR="0029791A">
        <w:rPr>
          <w:sz w:val="28"/>
          <w:szCs w:val="28"/>
        </w:rPr>
        <w:t xml:space="preserve">, в порядке, установленном нормативно-правовым актом </w:t>
      </w:r>
      <w:r w:rsidR="008F14CA">
        <w:rPr>
          <w:sz w:val="28"/>
          <w:szCs w:val="28"/>
        </w:rPr>
        <w:t>администрации</w:t>
      </w:r>
      <w:r w:rsidR="008F14CA" w:rsidRPr="008F14CA">
        <w:rPr>
          <w:sz w:val="28"/>
          <w:szCs w:val="28"/>
        </w:rPr>
        <w:t xml:space="preserve"> </w:t>
      </w:r>
      <w:r w:rsidR="008F14CA" w:rsidRPr="007D3733">
        <w:rPr>
          <w:sz w:val="28"/>
          <w:szCs w:val="28"/>
        </w:rPr>
        <w:t>муниципального образования Тбилисский район</w:t>
      </w:r>
      <w:r w:rsidR="008F14CA">
        <w:rPr>
          <w:sz w:val="28"/>
          <w:szCs w:val="28"/>
        </w:rPr>
        <w:t>.</w:t>
      </w:r>
    </w:p>
    <w:p w:rsidR="0062057D" w:rsidRPr="00BE4AFE" w:rsidRDefault="0062057D" w:rsidP="0062057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E4AFE">
        <w:rPr>
          <w:sz w:val="28"/>
          <w:szCs w:val="28"/>
        </w:rPr>
        <w:t xml:space="preserve">Реструктуризация муниципального долга по </w:t>
      </w:r>
      <w:proofErr w:type="gramStart"/>
      <w:r w:rsidRPr="00BE4AFE">
        <w:rPr>
          <w:sz w:val="28"/>
          <w:szCs w:val="28"/>
        </w:rPr>
        <w:t xml:space="preserve">бюджетным кредитам, предоставленным </w:t>
      </w:r>
      <w:r w:rsidR="008F14CA">
        <w:rPr>
          <w:sz w:val="28"/>
          <w:szCs w:val="28"/>
        </w:rPr>
        <w:t>в</w:t>
      </w:r>
      <w:r w:rsidRPr="00BE4AFE">
        <w:rPr>
          <w:sz w:val="28"/>
          <w:szCs w:val="28"/>
        </w:rPr>
        <w:t xml:space="preserve"> 202</w:t>
      </w:r>
      <w:r w:rsidR="008F14CA">
        <w:rPr>
          <w:sz w:val="28"/>
          <w:szCs w:val="28"/>
        </w:rPr>
        <w:t>3</w:t>
      </w:r>
      <w:r w:rsidRPr="00BE4AFE">
        <w:rPr>
          <w:sz w:val="28"/>
          <w:szCs w:val="28"/>
        </w:rPr>
        <w:t xml:space="preserve"> год</w:t>
      </w:r>
      <w:r w:rsidR="008F14CA">
        <w:rPr>
          <w:sz w:val="28"/>
          <w:szCs w:val="28"/>
        </w:rPr>
        <w:t>у</w:t>
      </w:r>
      <w:r w:rsidRPr="00BE4AFE">
        <w:rPr>
          <w:sz w:val="28"/>
          <w:szCs w:val="28"/>
        </w:rPr>
        <w:t xml:space="preserve"> из бюджета муниципального образования Тбилисский район на частичное покрытие дефицитов бюджетов сельских поселений Тбилисского района и наличии временных кассовых разрывов путем изменения объемов основного долга осуществляется</w:t>
      </w:r>
      <w:proofErr w:type="gramEnd"/>
      <w:r w:rsidRPr="00BE4AFE">
        <w:rPr>
          <w:sz w:val="28"/>
          <w:szCs w:val="28"/>
        </w:rPr>
        <w:t xml:space="preserve"> на следующих условиях:</w:t>
      </w:r>
    </w:p>
    <w:p w:rsidR="0062057D" w:rsidRPr="00BE4AFE" w:rsidRDefault="0062057D" w:rsidP="0062057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E4AFE">
        <w:rPr>
          <w:sz w:val="28"/>
          <w:szCs w:val="28"/>
        </w:rPr>
        <w:t xml:space="preserve">          1) частичное списание суммы основного долга сельского  поселения </w:t>
      </w:r>
      <w:r w:rsidRPr="00BE4AFE">
        <w:rPr>
          <w:sz w:val="28"/>
          <w:szCs w:val="28"/>
        </w:rPr>
        <w:lastRenderedPageBreak/>
        <w:t>Тбилисского района по договору о предоставлении бюджетного кредита производится в пределах 80 процентов остатка непогашенной задолженности по основному долгу на установленную дату;</w:t>
      </w:r>
    </w:p>
    <w:p w:rsidR="0062057D" w:rsidRPr="00BE4AFE" w:rsidRDefault="0062057D" w:rsidP="0062057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E4AFE">
        <w:rPr>
          <w:sz w:val="28"/>
          <w:szCs w:val="28"/>
        </w:rPr>
        <w:t xml:space="preserve">          2) за пользование средствами бюджета муниципального образования Тбилисский район взимается плата в размере 0,1 процента </w:t>
      </w:r>
      <w:proofErr w:type="gramStart"/>
      <w:r w:rsidRPr="00BE4AFE">
        <w:rPr>
          <w:sz w:val="28"/>
          <w:szCs w:val="28"/>
        </w:rPr>
        <w:t>годовых</w:t>
      </w:r>
      <w:proofErr w:type="gramEnd"/>
      <w:r w:rsidRPr="00BE4AFE">
        <w:rPr>
          <w:sz w:val="28"/>
          <w:szCs w:val="28"/>
        </w:rPr>
        <w:t>;</w:t>
      </w:r>
    </w:p>
    <w:p w:rsidR="0062057D" w:rsidRPr="00166BFF" w:rsidRDefault="0062057D" w:rsidP="0062057D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E4AFE">
        <w:rPr>
          <w:sz w:val="28"/>
          <w:szCs w:val="28"/>
        </w:rPr>
        <w:t xml:space="preserve">          3) обеспечение погашения задолженности по основному долгу сельского  поселения Тбилисского района, не позднее установленной даты в размере 100 процентов суммы основного долга сельского  поселения Тбилисского района</w:t>
      </w:r>
      <w:proofErr w:type="gramStart"/>
      <w:r>
        <w:rPr>
          <w:sz w:val="28"/>
          <w:szCs w:val="28"/>
        </w:rPr>
        <w:t>.</w:t>
      </w:r>
      <w:r w:rsidRPr="007D3733">
        <w:rPr>
          <w:sz w:val="28"/>
          <w:szCs w:val="28"/>
        </w:rPr>
        <w:t>»</w:t>
      </w:r>
      <w:r w:rsidRPr="00BE4AFE">
        <w:rPr>
          <w:sz w:val="28"/>
          <w:szCs w:val="28"/>
        </w:rPr>
        <w:t>.</w:t>
      </w:r>
      <w:proofErr w:type="gramEnd"/>
    </w:p>
    <w:p w:rsidR="008A25D5" w:rsidRPr="004E5251" w:rsidRDefault="00AF4DCE" w:rsidP="00C24915">
      <w:pPr>
        <w:tabs>
          <w:tab w:val="left" w:pos="709"/>
        </w:tabs>
        <w:jc w:val="both"/>
        <w:rPr>
          <w:sz w:val="28"/>
          <w:szCs w:val="28"/>
        </w:rPr>
      </w:pPr>
      <w:r w:rsidRPr="008C12AA">
        <w:rPr>
          <w:sz w:val="27"/>
          <w:szCs w:val="27"/>
        </w:rPr>
        <w:t xml:space="preserve">        </w:t>
      </w:r>
      <w:r w:rsidR="00576501"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Pr="004E5251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7320" w:rsidRPr="004E5251" w:rsidRDefault="006C7320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F71A83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p w:rsidR="00867861" w:rsidRPr="004E5251" w:rsidRDefault="00867861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</w:p>
    <w:sectPr w:rsidR="00867861" w:rsidRPr="004E5251" w:rsidSect="004E5251">
      <w:headerReference w:type="default" r:id="rId10"/>
      <w:footerReference w:type="default" r:id="rId11"/>
      <w:pgSz w:w="11907" w:h="16840" w:code="9"/>
      <w:pgMar w:top="1134" w:right="68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91A" w:rsidRDefault="0029791A">
      <w:r>
        <w:separator/>
      </w:r>
    </w:p>
  </w:endnote>
  <w:endnote w:type="continuationSeparator" w:id="0">
    <w:p w:rsidR="0029791A" w:rsidRDefault="0029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1A" w:rsidRDefault="0029791A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91A" w:rsidRDefault="0029791A">
      <w:r>
        <w:separator/>
      </w:r>
    </w:p>
  </w:footnote>
  <w:footnote w:type="continuationSeparator" w:id="0">
    <w:p w:rsidR="0029791A" w:rsidRDefault="00297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91A" w:rsidRDefault="0029791A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8255C">
      <w:rPr>
        <w:rStyle w:val="a9"/>
        <w:noProof/>
      </w:rPr>
      <w:t>3</w:t>
    </w:r>
    <w:r>
      <w:rPr>
        <w:rStyle w:val="a9"/>
      </w:rPr>
      <w:fldChar w:fldCharType="end"/>
    </w:r>
  </w:p>
  <w:p w:rsidR="0029791A" w:rsidRDefault="0029791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5CD6"/>
    <w:rsid w:val="00077D18"/>
    <w:rsid w:val="00080468"/>
    <w:rsid w:val="00080E86"/>
    <w:rsid w:val="000820E1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3D38"/>
    <w:rsid w:val="002362AA"/>
    <w:rsid w:val="00240F31"/>
    <w:rsid w:val="00242E99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9791A"/>
    <w:rsid w:val="002A071A"/>
    <w:rsid w:val="002A1377"/>
    <w:rsid w:val="002A1ED4"/>
    <w:rsid w:val="002A5685"/>
    <w:rsid w:val="002A6057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55C"/>
    <w:rsid w:val="00382FFF"/>
    <w:rsid w:val="0038477D"/>
    <w:rsid w:val="00385522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45F92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59AE"/>
    <w:rsid w:val="005A7DEB"/>
    <w:rsid w:val="005B16F6"/>
    <w:rsid w:val="005B243E"/>
    <w:rsid w:val="005B3BB3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13D36"/>
    <w:rsid w:val="00614642"/>
    <w:rsid w:val="00615D2D"/>
    <w:rsid w:val="0061610A"/>
    <w:rsid w:val="0062057D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2819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3EE2"/>
    <w:rsid w:val="0079426D"/>
    <w:rsid w:val="0079554D"/>
    <w:rsid w:val="007974B8"/>
    <w:rsid w:val="007978A5"/>
    <w:rsid w:val="007A08CA"/>
    <w:rsid w:val="007A45C7"/>
    <w:rsid w:val="007A46B8"/>
    <w:rsid w:val="007A6F5A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5544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1C6E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B2A16"/>
    <w:rsid w:val="008B4345"/>
    <w:rsid w:val="008B5006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14CA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4915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9204E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05FB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961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BB14D-3E15-4C2F-BB86-2C565B40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317</cp:revision>
  <cp:lastPrinted>2024-08-20T05:16:00Z</cp:lastPrinted>
  <dcterms:created xsi:type="dcterms:W3CDTF">2021-02-16T05:14:00Z</dcterms:created>
  <dcterms:modified xsi:type="dcterms:W3CDTF">2024-08-30T07:22:00Z</dcterms:modified>
</cp:coreProperties>
</file>